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380"/>
        <w:tblW w:w="15093" w:type="dxa"/>
        <w:tblInd w:w="-709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1"/>
        <w:gridCol w:w="4886"/>
      </w:tblGrid>
      <w:tr>
        <w:trPr>
          <w:trHeight w:val="3973"/>
        </w:trPr>
        <w:tc>
          <w:tcPr>
            <w:tcW w:w="4536" w:type="dxa"/>
            <w:textDirection w:val="lrTb"/>
            <w:noWrap w:val="false"/>
          </w:tcPr>
          <w:p>
            <w:pPr>
              <w:tabs>
                <w:tab w:val="left" w:pos="7275" w:leader="none"/>
              </w:tabs>
            </w:pPr>
            <w:r>
              <w:rPr>
                <w:lang w:eastAsia="ru-RU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26905" cy="2336224"/>
                      <wp:effectExtent l="0" t="0" r="0" b="0"/>
                      <wp:docPr id="1" name="Рисунок 1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картинка.jpg" hidden="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826904" cy="23362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222.6pt;height:184.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ab/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ind w:left="-425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r>
            <w:r/>
          </w:p>
          <w:p>
            <w:pPr>
              <w:ind w:left="-425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Закон Иркутской области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  <w:t xml:space="preserve">от 21 декабря 2021 года № 135-ОЗ</w:t>
            </w:r>
            <w:r/>
          </w:p>
          <w:p>
            <w:pPr>
              <w:ind w:left="-425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«О дополнительной мере социальной поддержки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в Иркутской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бласти лиц из числа детей-сирот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и детей, оставшихся без попечения родителей,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граждан, которые относились к категории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виде социальной выплаты на приобретение жилого помещения»</w:t>
            </w:r>
            <w:r/>
          </w:p>
          <w:p>
            <w:pPr>
              <w:jc w:val="center"/>
              <w:tabs>
                <w:tab w:val="left" w:pos="7275" w:leader="none"/>
              </w:tabs>
              <w:rPr>
                <w:rFonts w:ascii="Times New Roman" w:hAnsi="Times New Roman" w:cs="Times New Roman"/>
                <w:color w:val="538135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538135"/>
                <w:sz w:val="34"/>
                <w:szCs w:val="34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ind w:hanging="102"/>
              <w:jc w:val="center"/>
              <w:tabs>
                <w:tab w:val="left" w:pos="7275" w:leader="none"/>
              </w:tabs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</w:r>
            <w:r/>
          </w:p>
        </w:tc>
      </w:tr>
    </w:tbl>
    <w:p>
      <w:pPr>
        <w:ind w:left="-425"/>
        <w:jc w:val="center"/>
        <w:spacing w:lineRule="auto" w:lin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tbl>
      <w:tblPr>
        <w:tblW w:w="10123" w:type="dxa"/>
        <w:tblInd w:w="-79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601"/>
        <w:gridCol w:w="7522"/>
      </w:tblGrid>
      <w:tr>
        <w:trPr/>
        <w:tc>
          <w:tcPr>
            <w:shd w:val="clear" w:color="auto" w:fill="E2EFD9" w:themeFill="accent6" w:themeFillTint="33"/>
            <w:tcW w:w="26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1. Нормативно-правовой 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акт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, регламентирующий порядок и условия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предоставления социальной выплаты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r>
            <w:r/>
          </w:p>
        </w:tc>
        <w:tc>
          <w:tcPr>
            <w:shd w:val="clear" w:color="auto" w:fill="E2EFD9" w:themeFill="accent6" w:themeFillTint="33"/>
            <w:tcW w:w="7522" w:type="dxa"/>
            <w:textDirection w:val="lrTb"/>
            <w:noWrap w:val="false"/>
          </w:tcPr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Постановление Правительства Иркутской области от 29 мая 2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020 года № 390-пп «Об установлении Порядка принятия лиц из числа детей-сирот и детей, оставшихся без попечения родителей, граждан, которые относились к категории детей-сирот и детей, оставшихся без попечения родителей, лиц из числа детей-сирот и детей, ост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авшихся без попечения родителей, и достигли возраста 23 лет, на учет для предоставления дополнительной меры социальной поддержки в виде социальной выплаты на приобретение жилого помещения и предоставления указанной дополнительной меры социальной поддержки»</w:t>
            </w:r>
            <w:r/>
          </w:p>
        </w:tc>
      </w:tr>
      <w:tr>
        <w:trPr>
          <w:trHeight w:val="1935"/>
        </w:trPr>
        <w:tc>
          <w:tcPr>
            <w:shd w:val="clear" w:color="auto" w:fill="E2EFD9" w:themeFill="accent6" w:themeFillTint="33"/>
            <w:tcW w:w="26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. Условия предоставления социальной выплаты </w:t>
            </w:r>
            <w:r/>
          </w:p>
        </w:tc>
        <w:tc>
          <w:tcPr>
            <w:shd w:val="clear" w:color="auto" w:fill="E2EFD9" w:themeFill="accent6" w:themeFillTint="33"/>
            <w:tcW w:w="7522" w:type="dxa"/>
            <w:textDirection w:val="lrTb"/>
            <w:noWrap w:val="false"/>
          </w:tcPr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Право на социальную выплату имеют граждане,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достигшие возраста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 лет,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отвечающие в совокупности следующим условиям: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1) гражданин включен в список детей-сирот, которые подлежат обеспечению жилыми помещениями специализированного жилищного фонда Иркутской области;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2) гражданину не предоставлено благоустроенное жилое помещение специализированного жилищного фонда Иркутской области для детей-сирот;</w:t>
            </w:r>
            <w:r/>
          </w:p>
          <w:p>
            <w:pPr>
              <w:ind w:firstLine="468"/>
              <w:jc w:val="both"/>
              <w:spacing w:lineRule="auto" w:line="240" w:after="0"/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гражданин осуществляет трудовую деятельность на основании трудового договора (служебного контракта), деятельность без образования юридического лица в качестве индивидуального предпринимателя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деятельность в качестве 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самозанятого</w:t>
            </w:r>
            <w:r>
              <w:rPr>
                <w:rFonts w:ascii="Times New Roman" w:hAnsi="Times New Roman" w:cs="Times New Roman" w:eastAsia="Times New Roman"/>
                <w:bCs/>
                <w:color w:val="1F4E79" w:themeColor="accent1" w:themeShade="8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либо иную деятельность, осуществляемую по договорам гражданско-правового характера, имеет ребенка (детей), в том числе усыновленного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(удочеренного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), и проживает совместно с ним (ними)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 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ЛИБО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гражданин не осуществляет трудовую деятельность, имеет ребенка (детей) в возрасте до трех лет либо ребенка-инвалида и проживает совместно с ним (ними);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1F4E79"/>
                <w:lang w:eastAsia="ru-RU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ЛИБО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/>
                <w:color w:val="1F4E79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гражданин обучается по образовательным программам высшего образования;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ЛИБО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Гражданин принимает (принимал) участие в специальной военной операции, проводимой с 24 февраля 2022 года;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/>
                <w:color w:val="1F4E79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ЛИБО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/>
                <w:color w:val="1F4E79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гражданин является супругой (супругом) участника специальной военной операции;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/>
                <w:color w:val="1F4E79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ЛИБО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1F4E79"/>
                <w:lang w:eastAsia="ru-RU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гражданин является вдовой (вдовцом) участника специальной военной операции.</w:t>
            </w:r>
            <w:r>
              <w:rPr>
                <w:rFonts w:ascii="Times New Roman" w:hAnsi="Times New Roman" w:cs="Times New Roman" w:eastAsia="Times New Roman"/>
                <w:bCs/>
                <w:color w:val="1F4E79" w:themeColor="accent1" w:themeShade="80"/>
                <w:lang w:eastAsia="ru-RU"/>
              </w:rPr>
              <w:t xml:space="preserve"> 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bCs/>
                <w:color w:val="002060"/>
                <w:lang w:eastAsia="ru-RU"/>
              </w:rPr>
              <w:t xml:space="preserve">отсутствует вступившее в законную силу решение суда о предоставлении гражданину благоустроенного жилого помещения специализированного жилищного фонда Иркутской области.</w:t>
            </w:r>
            <w:r/>
          </w:p>
        </w:tc>
      </w:tr>
      <w:tr>
        <w:trPr>
          <w:trHeight w:val="1683"/>
        </w:trPr>
        <w:tc>
          <w:tcPr>
            <w:shd w:val="clear" w:color="auto" w:fill="E2EFD9" w:themeFill="accent6" w:themeFillTint="33"/>
            <w:tcW w:w="26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Размер социальной выплаты</w:t>
            </w:r>
            <w:r/>
          </w:p>
        </w:tc>
        <w:tc>
          <w:tcPr>
            <w:shd w:val="clear" w:color="auto" w:fill="E2EFD9" w:themeFill="accent6" w:themeFillTint="33"/>
            <w:tcW w:w="7522" w:type="dxa"/>
            <w:textDirection w:val="lrTb"/>
            <w:noWrap w:val="false"/>
          </w:tcPr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Расчет размера социальной выплаты производится исходя из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33 кв. м. общей площади жилого помещения и показателя средней рыночной стоимости одного квадратного метра общей площади жилого помещения по Иркутской области, утверждаемой Министерством строительства и жилищно-коммунального хозяйства Российской Федерации.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.</w:t>
            </w:r>
            <w:r/>
          </w:p>
        </w:tc>
      </w:tr>
      <w:tr>
        <w:trPr>
          <w:trHeight w:val="933"/>
        </w:trPr>
        <w:tc>
          <w:tcPr>
            <w:shd w:val="clear" w:color="auto" w:fill="E2EFD9" w:themeFill="accent6" w:themeFillTint="33"/>
            <w:tcW w:w="26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4. Перечень необходимых документов</w:t>
            </w:r>
            <w:r/>
          </w:p>
        </w:tc>
        <w:tc>
          <w:tcPr>
            <w:shd w:val="clear" w:color="auto" w:fill="E2EFD9" w:themeFill="accent6" w:themeFillTint="33"/>
            <w:tcW w:w="7522" w:type="dxa"/>
            <w:textDirection w:val="lrTb"/>
            <w:noWrap w:val="false"/>
          </w:tcPr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Для рассмотрения заявления о принятии на учет для предоставления социальной выплаты необходимы следующие документы: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 паспорт либо иной документ, удостоверяющий личность гражданина;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 документы, удостоверяющие личность и подтверждающие полномочия представителя гражданина (в случае обращения с заявлением представителя);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 решение суда об установлении факта постоянного или преимущественного проживания на территории Иркутской области (в случае отсутствия постоянной регистрации по месту жительства на территории Иркутской области);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 свидетельство о рождении ребенка (детей); 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 документы, подтверждающие регистрацию по месту жительства на территории Иркутской области гражданина и ребенка (детей), и (или) решение суда об установлении факта совместного проживания гражданина и ребенка (детей) на территории Иркутской области;</w:t>
            </w:r>
            <w:r/>
          </w:p>
          <w:p>
            <w:pPr>
              <w:ind w:firstLine="709"/>
              <w:jc w:val="both"/>
              <w:spacing w:lineRule="auto" w:line="228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 копия трудовой книжки, зав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еренная надлежащим образом по месту работы (службы), или сведения о трудовой деятельности, выданные не позднее чем за один месяц до даты подачи заявления, или свидетельство о государственной регистрации гражданина в качестве индивидуального предпринимателя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или выписка из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или </w:t>
            </w:r>
            <w:r>
              <w:rPr>
                <w:rFonts w:ascii="Times New Roman" w:hAnsi="Times New Roman" w:cs="Times New Roman" w:eastAsia="Times New Roman"/>
                <w:color w:val="1F4E79" w:themeColor="accent1" w:themeShade="80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правка о постановке на учет физического лица в качестве налогоплательщика налога на профессиональный доход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или договоры гражданско-правового характера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, которые предусматривают выполнение работ, оказание услуг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(за исключением граждан, не осуществляющих трудовую деятельность и имеющих ребенка (детей) в возрасте до трех лет либо ребенка-инвалида)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;</w:t>
            </w:r>
            <w:r/>
          </w:p>
          <w:p>
            <w:pPr>
              <w:ind w:firstLine="709"/>
              <w:jc w:val="both"/>
              <w:spacing w:lineRule="auto" w:line="228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справка об обучении в образовательном учреждении по образовательной программе высшего образования, выданная не позднее чем за один месяц до даты подачи заявления,</w:t>
            </w:r>
            <w:r/>
          </w:p>
          <w:p>
            <w:pPr>
              <w:ind w:firstLine="709"/>
              <w:jc w:val="both"/>
              <w:spacing w:lineRule="auto" w:line="228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документы, содержащие сведения об участии в специальной военной операции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;</w:t>
            </w:r>
            <w:r/>
          </w:p>
          <w:p>
            <w:pPr>
              <w:ind w:firstLine="709"/>
              <w:jc w:val="both"/>
              <w:spacing w:lineRule="auto" w:line="228" w:after="0"/>
              <w:rPr>
                <w:rFonts w:ascii="Times New Roman" w:hAnsi="Times New Roman" w:cs="Times New Roman"/>
                <w:color w:val="1F4E79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свидетельство о браке и документы, содержащие сведения об участии супруга (супруги) в специальной военной операции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;</w:t>
            </w:r>
            <w:r/>
          </w:p>
          <w:p>
            <w:pPr>
              <w:ind w:firstLine="709"/>
              <w:jc w:val="both"/>
              <w:spacing w:lineRule="auto" w:line="228" w:after="0"/>
              <w:rPr>
                <w:rFonts w:ascii="Times New Roman" w:hAnsi="Times New Roman" w:cs="Times New Roman"/>
                <w:color w:val="1F4E79"/>
                <w:u w:val="single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-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 свидетельство о браке, свидетельство о смерти и документы, содержащие сведения об участии в специальной военной операции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при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подаче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 заявления вдовцом (вдовой)</w:t>
            </w:r>
            <w:r>
              <w:rPr>
                <w:rFonts w:ascii="Times New Roman" w:hAnsi="Times New Roman" w:cs="Times New Roman" w:eastAsia="Times New Roman"/>
                <w:color w:val="1F4E79" w:themeColor="accent1" w:themeShade="80"/>
                <w:u w:val="single"/>
                <w:lang w:eastAsia="ru-RU"/>
              </w:rPr>
              <w:t xml:space="preserve">;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- справка об установления инвалидности (для граждан, не осуществляющих трудовую деятельност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ь и имеющих ребенка-инвалида)..</w:t>
            </w:r>
            <w:r/>
          </w:p>
        </w:tc>
      </w:tr>
      <w:tr>
        <w:trPr>
          <w:trHeight w:val="2835"/>
        </w:trPr>
        <w:tc>
          <w:tcPr>
            <w:shd w:val="clear" w:color="auto" w:fill="E2EFD9" w:themeFill="accent6" w:themeFillTint="33"/>
            <w:tcW w:w="26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5. Способы подачи заявления и документов</w:t>
            </w:r>
            <w:r/>
          </w:p>
        </w:tc>
        <w:tc>
          <w:tcPr>
            <w:shd w:val="clear" w:color="auto" w:fill="E2EFD9" w:themeFill="accent6" w:themeFillTint="33"/>
            <w:tcW w:w="7522" w:type="dxa"/>
            <w:textDirection w:val="lrTb"/>
            <w:noWrap w:val="false"/>
          </w:tcPr>
          <w:p>
            <w:pPr>
              <w:ind w:firstLine="459"/>
              <w:jc w:val="both"/>
              <w:spacing w:lineRule="auto" w:line="240" w:after="0"/>
              <w:tabs>
                <w:tab w:val="left" w:pos="452" w:leader="none"/>
              </w:tabs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Заявление о постановке на учет может быть подано гражданином или его законным представителем одним из следующих способов:</w:t>
            </w:r>
            <w:r/>
          </w:p>
          <w:p>
            <w:pPr>
              <w:ind w:firstLine="459"/>
              <w:jc w:val="both"/>
              <w:spacing w:lineRule="auto" w:line="240" w:after="0"/>
              <w:tabs>
                <w:tab w:val="left" w:pos="452" w:leader="none"/>
              </w:tabs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1) путем личного обращения в орган опеки и попечительства по месту жительства;</w:t>
            </w:r>
            <w:r/>
          </w:p>
          <w:p>
            <w:pPr>
              <w:ind w:firstLine="459"/>
              <w:jc w:val="both"/>
              <w:spacing w:lineRule="auto" w:line="240" w:after="0"/>
              <w:tabs>
                <w:tab w:val="left" w:pos="452" w:leader="none"/>
              </w:tabs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2) через организации почтовой связи;</w:t>
            </w:r>
            <w:r/>
          </w:p>
          <w:p>
            <w:pPr>
              <w:ind w:firstLine="459"/>
              <w:jc w:val="both"/>
              <w:spacing w:lineRule="auto" w:line="240" w:after="0"/>
              <w:tabs>
                <w:tab w:val="left" w:pos="452" w:leader="none"/>
              </w:tabs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3) через многофункциональный центр предоставления государственных и муниципальных услуг;</w:t>
            </w:r>
            <w:r/>
          </w:p>
          <w:p>
            <w:pPr>
              <w:ind w:firstLine="459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4) в электронном виде с использованием федеральной государственной информационной системы «Единый портал государственных и муниципальных услуг».</w:t>
            </w:r>
            <w:r/>
          </w:p>
        </w:tc>
      </w:tr>
      <w:tr>
        <w:trPr>
          <w:trHeight w:val="1314"/>
        </w:trPr>
        <w:tc>
          <w:tcPr>
            <w:shd w:val="clear" w:color="auto" w:fill="E2EFD9" w:themeFill="accent6" w:themeFillTint="33"/>
            <w:tcW w:w="26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6. Куда обращаться</w:t>
            </w:r>
            <w:r/>
          </w:p>
        </w:tc>
        <w:tc>
          <w:tcPr>
            <w:shd w:val="clear" w:color="auto" w:fill="E2EFD9" w:themeFill="accent6" w:themeFillTint="33"/>
            <w:tcW w:w="7522" w:type="dxa"/>
            <w:textDirection w:val="lrTb"/>
            <w:noWrap w:val="false"/>
          </w:tcPr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В орган опеки и попечительства по месту жительства.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перечнем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территориальных органов опеки и попечительства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можно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ознакомиться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сайте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министерства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социального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развития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опеки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попечительства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Иркутской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 w:hint="eastAsia"/>
                <w:color w:val="002060"/>
                <w:lang w:eastAsia="ru-RU"/>
              </w:rPr>
              <w:t xml:space="preserve">области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 </w:t>
            </w:r>
            <w:hyperlink r:id="rId9" w:tooltip="https://irkobl.ru/sites/society/about/podrazdel/" w:history="1">
              <w:r>
                <w:rPr>
                  <w:rStyle w:val="383"/>
                  <w:rFonts w:ascii="Times New Roman" w:hAnsi="Times New Roman" w:cs="Times New Roman" w:eastAsia="Times New Roman"/>
                  <w:lang w:eastAsia="ru-RU"/>
                </w:rPr>
                <w:t xml:space="preserve">https://irkobl.ru/sites/society/about/podrazdel/</w:t>
              </w:r>
            </w:hyperlink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.</w:t>
            </w:r>
            <w:r/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Наши контакты: 8(39557)-7-04-00; 7-04-01; 7-04-02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r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665103, Иркутская область, г. Нижнеудинск, ул. 2-я Пролетарская, д 14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r>
          </w:p>
          <w:p>
            <w:pPr>
              <w:ind w:firstLine="468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  <w:t xml:space="preserve">Эл. почта: nigneud-opeka@sobes.admirk.ru</w:t>
            </w:r>
            <w:r>
              <w:rPr>
                <w:rFonts w:ascii="Times New Roman" w:hAnsi="Times New Roman" w:cs="Times New Roman" w:eastAsia="Times New Roman"/>
                <w:color w:val="002060"/>
                <w:lang w:eastAsia="ru-RU"/>
              </w:rPr>
            </w:r>
          </w:p>
        </w:tc>
      </w:tr>
    </w:tbl>
    <w:p>
      <w:pPr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sectPr>
      <w:footnotePr/>
      <w:type w:val="nextPage"/>
      <w:pgSz w:w="11906" w:h="16838" w:orient="portrait"/>
      <w:pgMar w:top="709" w:right="850" w:bottom="567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6"/>
    <w:next w:val="37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7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6"/>
    <w:next w:val="37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7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6"/>
    <w:next w:val="37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7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6"/>
    <w:next w:val="37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7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6"/>
    <w:next w:val="37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7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6"/>
    <w:next w:val="37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7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6"/>
    <w:next w:val="37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7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6"/>
    <w:next w:val="37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7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6"/>
    <w:next w:val="37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7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76"/>
    <w:next w:val="37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77"/>
    <w:link w:val="32"/>
    <w:uiPriority w:val="10"/>
    <w:rPr>
      <w:sz w:val="48"/>
      <w:szCs w:val="48"/>
    </w:rPr>
  </w:style>
  <w:style w:type="paragraph" w:styleId="34">
    <w:name w:val="Subtitle"/>
    <w:basedOn w:val="376"/>
    <w:next w:val="37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77"/>
    <w:link w:val="34"/>
    <w:uiPriority w:val="11"/>
    <w:rPr>
      <w:sz w:val="24"/>
      <w:szCs w:val="24"/>
    </w:rPr>
  </w:style>
  <w:style w:type="paragraph" w:styleId="36">
    <w:name w:val="Quote"/>
    <w:basedOn w:val="376"/>
    <w:next w:val="37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6"/>
    <w:next w:val="37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6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77"/>
    <w:link w:val="40"/>
    <w:uiPriority w:val="99"/>
  </w:style>
  <w:style w:type="paragraph" w:styleId="42">
    <w:name w:val="Footer"/>
    <w:basedOn w:val="376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77"/>
    <w:link w:val="42"/>
    <w:uiPriority w:val="99"/>
  </w:style>
  <w:style w:type="paragraph" w:styleId="44">
    <w:name w:val="Caption"/>
    <w:basedOn w:val="376"/>
    <w:next w:val="3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37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377"/>
    <w:uiPriority w:val="99"/>
    <w:unhideWhenUsed/>
    <w:rPr>
      <w:vertAlign w:val="superscript"/>
    </w:rPr>
  </w:style>
  <w:style w:type="paragraph" w:styleId="176">
    <w:name w:val="toc 1"/>
    <w:basedOn w:val="376"/>
    <w:next w:val="376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6"/>
    <w:next w:val="376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6"/>
    <w:next w:val="376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6"/>
    <w:next w:val="376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6"/>
    <w:next w:val="376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6"/>
    <w:next w:val="376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6"/>
    <w:next w:val="376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6"/>
    <w:next w:val="376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6"/>
    <w:next w:val="376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6" w:default="1">
    <w:name w:val="Normal"/>
    <w:qFormat/>
  </w:style>
  <w:style w:type="character" w:styleId="377" w:default="1">
    <w:name w:val="Default Paragraph Font"/>
    <w:uiPriority w:val="1"/>
    <w:semiHidden/>
    <w:unhideWhenUsed/>
  </w:style>
  <w:style w:type="table" w:styleId="3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9" w:default="1">
    <w:name w:val="No List"/>
    <w:uiPriority w:val="99"/>
    <w:semiHidden/>
    <w:unhideWhenUsed/>
  </w:style>
  <w:style w:type="table" w:styleId="380">
    <w:name w:val="Table Grid"/>
    <w:basedOn w:val="378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381" w:customStyle="1">
    <w:name w:val="Знак Знак Знак Знак Знак Знак"/>
    <w:basedOn w:val="376"/>
    <w:rPr>
      <w:rFonts w:ascii="Verdana" w:hAnsi="Verdana" w:cs="Verdana" w:eastAsia="Times New Roman"/>
      <w:sz w:val="20"/>
      <w:szCs w:val="20"/>
      <w:lang w:val="en-US"/>
    </w:rPr>
    <w:pPr>
      <w:spacing w:lineRule="auto" w:line="240" w:after="0"/>
    </w:pPr>
  </w:style>
  <w:style w:type="paragraph" w:styleId="382">
    <w:name w:val="List Paragraph"/>
    <w:basedOn w:val="376"/>
    <w:qFormat/>
    <w:uiPriority w:val="34"/>
    <w:pPr>
      <w:contextualSpacing w:val="true"/>
      <w:ind w:left="720"/>
    </w:pPr>
  </w:style>
  <w:style w:type="character" w:styleId="383">
    <w:name w:val="Hyperlink"/>
    <w:basedOn w:val="377"/>
    <w:uiPriority w:val="99"/>
    <w:unhideWhenUsed/>
    <w:rPr>
      <w:color w:val="0563C1" w:themeColor="hyperlink"/>
      <w:u w:val="single"/>
    </w:rPr>
  </w:style>
  <w:style w:type="paragraph" w:styleId="384">
    <w:name w:val="Balloon Text"/>
    <w:basedOn w:val="376"/>
    <w:link w:val="385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385" w:customStyle="1">
    <w:name w:val="Текст выноски Знак"/>
    <w:basedOn w:val="377"/>
    <w:link w:val="38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jpg"/><Relationship Id="rId9" Type="http://schemas.openxmlformats.org/officeDocument/2006/relationships/hyperlink" Target="https://irkobl.ru/sites/society/about/podrazdel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Мазница Евгения Александровна</dc:creator>
  <cp:keywords/>
  <dc:description/>
  <cp:revision>112</cp:revision>
  <dcterms:created xsi:type="dcterms:W3CDTF">2021-01-20T07:05:00Z</dcterms:created>
  <dcterms:modified xsi:type="dcterms:W3CDTF">2023-05-11T08:39:08Z</dcterms:modified>
</cp:coreProperties>
</file>