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288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248"/>
        <w:gridCol w:w="6299"/>
      </w:tblGrid>
      <w:tr>
        <w:trPr>
          <w:trHeight w:val="305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116" w:type="dxa"/>
            <w:vAlign w:val="top"/>
            <w:textDirection w:val="lrTb"/>
            <w:noWrap w:val="false"/>
          </w:tcPr>
          <w:p>
            <w:pPr>
              <w:pStyle w:val="837"/>
              <w:jc w:val="center"/>
              <w:rPr>
                <w:sz w:val="28"/>
                <w:szCs w:val="2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59964" cy="1830857"/>
                      <wp:effectExtent l="0" t="0" r="0" b="0"/>
                      <wp:docPr id="1" name="" hidden="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 hidden="0"/>
                              <pic:cNvPicPr/>
                              <pic:nvPr isPhoto="0" userDrawn="0"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59964" cy="18308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201.6pt;height:144.2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324" w:type="dxa"/>
            <w:vAlign w:val="top"/>
            <w:textDirection w:val="lrTb"/>
            <w:noWrap w:val="false"/>
          </w:tcPr>
          <w:p>
            <w:pPr>
              <w:pStyle w:val="837"/>
              <w:jc w:val="center"/>
              <w:rPr>
                <w:b/>
                <w:color w:val="800080"/>
                <w:sz w:val="36"/>
                <w:szCs w:val="36"/>
              </w:rPr>
            </w:pPr>
            <w:r>
              <w:rPr>
                <w:b/>
                <w:color w:val="800080"/>
                <w:sz w:val="36"/>
                <w:szCs w:val="36"/>
              </w:rPr>
            </w:r>
            <w:r/>
          </w:p>
          <w:p>
            <w:pPr>
              <w:pStyle w:val="837"/>
              <w:jc w:val="center"/>
              <w:rPr>
                <w:b/>
                <w:color w:val="800080"/>
                <w:sz w:val="36"/>
                <w:szCs w:val="36"/>
              </w:rPr>
            </w:pPr>
            <w:r>
              <w:rPr>
                <w:b/>
                <w:color w:val="800080"/>
                <w:sz w:val="36"/>
                <w:szCs w:val="36"/>
              </w:rPr>
              <w:t xml:space="preserve">ПАМЯТКА</w:t>
            </w:r>
            <w:r/>
          </w:p>
          <w:p>
            <w:pPr>
              <w:pStyle w:val="837"/>
              <w:jc w:val="center"/>
              <w:rPr>
                <w:b/>
                <w:color w:val="800080"/>
                <w:sz w:val="20"/>
                <w:szCs w:val="20"/>
              </w:rPr>
            </w:pPr>
            <w:r>
              <w:rPr>
                <w:b/>
                <w:color w:val="800080"/>
                <w:sz w:val="20"/>
                <w:szCs w:val="20"/>
              </w:rPr>
            </w:r>
            <w:r/>
          </w:p>
          <w:p>
            <w:pPr>
              <w:pStyle w:val="837"/>
              <w:jc w:val="center"/>
              <w:rPr>
                <w:b/>
                <w:color w:val="000080"/>
                <w:sz w:val="32"/>
                <w:szCs w:val="32"/>
              </w:rPr>
            </w:pPr>
            <w:r>
              <w:rPr>
                <w:b/>
                <w:color w:val="000080"/>
                <w:sz w:val="32"/>
                <w:szCs w:val="32"/>
              </w:rPr>
              <w:t xml:space="preserve">О назначении </w:t>
            </w:r>
            <w:r/>
          </w:p>
          <w:p>
            <w:pPr>
              <w:pStyle w:val="837"/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>
              <w:rPr>
                <w:b/>
                <w:color w:val="000080"/>
                <w:sz w:val="32"/>
                <w:szCs w:val="32"/>
              </w:rPr>
              <w:t xml:space="preserve">единовременной выплаты участникам СВО, получившим увечье (ранение, травму, контузию) или заболевание  при выполнении задач в ходе СВО при выполнении задач по охране</w:t>
            </w:r>
            <w:r>
              <w:rPr>
                <w:b/>
                <w:color w:val="000080"/>
                <w:sz w:val="32"/>
                <w:szCs w:val="32"/>
              </w:rPr>
              <w:t xml:space="preserve"> государственной </w:t>
            </w:r>
            <w:r>
              <w:rPr>
                <w:b/>
                <w:color w:val="000080"/>
                <w:sz w:val="32"/>
                <w:szCs w:val="32"/>
              </w:rPr>
              <w:t xml:space="preserve">границы РФ</w:t>
            </w:r>
            <w:r>
              <w:rPr>
                <w:b/>
                <w:color w:val="000080"/>
                <w:sz w:val="32"/>
                <w:szCs w:val="32"/>
              </w:rPr>
              <w:t xml:space="preserve"> на участках, примыкающих к районам проведения СВО</w:t>
            </w:r>
            <w:r>
              <w:rPr>
                <w:b/>
                <w:i/>
                <w:color w:val="000080"/>
                <w:sz w:val="28"/>
                <w:szCs w:val="28"/>
              </w:rPr>
            </w:r>
            <w:r/>
          </w:p>
        </w:tc>
      </w:tr>
    </w:tbl>
    <w:p>
      <w:pPr>
        <w:pStyle w:val="837"/>
        <w:jc w:val="center"/>
        <w:rPr>
          <w:b/>
          <w:i/>
          <w:color w:val="800080"/>
          <w:sz w:val="28"/>
          <w:szCs w:val="28"/>
        </w:rPr>
      </w:pPr>
      <w:r>
        <w:rPr>
          <w:b/>
          <w:i/>
          <w:color w:val="800080"/>
          <w:sz w:val="28"/>
          <w:szCs w:val="28"/>
        </w:rPr>
        <w:t xml:space="preserve">Закон Иркутской области от 0</w:t>
      </w:r>
      <w:r>
        <w:rPr>
          <w:b/>
          <w:i/>
          <w:color w:val="800080"/>
          <w:sz w:val="28"/>
          <w:szCs w:val="28"/>
        </w:rPr>
        <w:t xml:space="preserve">7</w:t>
      </w:r>
      <w:r>
        <w:rPr>
          <w:b/>
          <w:i/>
          <w:color w:val="800080"/>
          <w:sz w:val="28"/>
          <w:szCs w:val="28"/>
        </w:rPr>
        <w:t xml:space="preserve"> </w:t>
      </w:r>
      <w:r>
        <w:rPr>
          <w:b/>
          <w:i/>
          <w:color w:val="800080"/>
          <w:sz w:val="28"/>
          <w:szCs w:val="28"/>
        </w:rPr>
        <w:t xml:space="preserve">июля</w:t>
      </w:r>
      <w:r>
        <w:rPr>
          <w:b/>
          <w:i/>
          <w:color w:val="800080"/>
          <w:sz w:val="28"/>
          <w:szCs w:val="28"/>
        </w:rPr>
        <w:t xml:space="preserve"> 2022 года № 53</w:t>
      </w:r>
      <w:r>
        <w:rPr>
          <w:b/>
          <w:i/>
          <w:color w:val="800080"/>
          <w:sz w:val="28"/>
          <w:szCs w:val="28"/>
        </w:rPr>
        <w:t xml:space="preserve">-оз </w:t>
      </w:r>
      <w:r>
        <w:rPr>
          <w:b/>
          <w:i/>
          <w:color w:val="800080"/>
          <w:sz w:val="28"/>
          <w:szCs w:val="28"/>
        </w:rPr>
      </w:r>
      <w:r/>
    </w:p>
    <w:p>
      <w:pPr>
        <w:pStyle w:val="837"/>
        <w:jc w:val="center"/>
        <w:rPr>
          <w:b/>
          <w:i/>
          <w:color w:val="800080"/>
          <w:sz w:val="28"/>
          <w:szCs w:val="28"/>
        </w:rPr>
      </w:pPr>
      <w:r>
        <w:rPr>
          <w:b/>
          <w:i/>
          <w:color w:val="800080"/>
          <w:sz w:val="28"/>
          <w:szCs w:val="28"/>
        </w:rPr>
        <w:t xml:space="preserve">«</w:t>
      </w:r>
      <w:r>
        <w:rPr>
          <w:b/>
          <w:i/>
          <w:color w:val="800080"/>
          <w:sz w:val="28"/>
          <w:szCs w:val="28"/>
        </w:rPr>
        <w:t xml:space="preserve">О дополнительных мерах социальной поддержки участников специальной военной операции Российской Федерации, и членов их семей</w:t>
      </w:r>
      <w:r>
        <w:rPr>
          <w:b/>
          <w:i/>
          <w:color w:val="800080"/>
          <w:sz w:val="28"/>
          <w:szCs w:val="28"/>
        </w:rPr>
        <w:t xml:space="preserve">»</w:t>
      </w:r>
      <w:r/>
    </w:p>
    <w:p>
      <w:pPr>
        <w:pStyle w:val="837"/>
        <w:jc w:val="center"/>
        <w:rPr>
          <w:color w:val="800080"/>
          <w:sz w:val="16"/>
          <w:szCs w:val="16"/>
        </w:rPr>
      </w:pPr>
      <w:r>
        <w:rPr>
          <w:color w:val="800080"/>
          <w:sz w:val="16"/>
          <w:szCs w:val="16"/>
        </w:rPr>
      </w:r>
      <w:r/>
    </w:p>
    <w:tbl>
      <w:tblPr>
        <w:tblW w:w="10620" w:type="dxa"/>
        <w:tblInd w:w="288" w:type="dxa"/>
        <w:tblBorders>
          <w:top w:val="single" w:color="000000" w:sz="24" w:space="0"/>
          <w:left w:val="single" w:color="000000" w:sz="24" w:space="0"/>
          <w:bottom w:val="single" w:color="000000" w:sz="24" w:space="0"/>
          <w:right w:val="single" w:color="000000" w:sz="24" w:space="0"/>
          <w:insideH w:val="single" w:color="000000" w:sz="24" w:space="0"/>
          <w:insideV w:val="single" w:color="000000" w:sz="2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3081"/>
        <w:gridCol w:w="7539"/>
      </w:tblGrid>
      <w:tr>
        <w:trPr/>
        <w:tc>
          <w:tcPr>
            <w:tcW w:w="3081" w:type="dxa"/>
            <w:vAlign w:val="top"/>
            <w:textDirection w:val="lrTb"/>
            <w:noWrap w:val="false"/>
          </w:tcPr>
          <w:p>
            <w:pPr>
              <w:pStyle w:val="837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</w:r>
            <w:r/>
          </w:p>
          <w:p>
            <w:pPr>
              <w:pStyle w:val="837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  <w:t xml:space="preserve">1. Категория граждан, имеющих право на получение </w:t>
            </w:r>
            <w:r>
              <w:rPr>
                <w:color w:val="002060"/>
                <w:sz w:val="25"/>
                <w:szCs w:val="25"/>
              </w:rPr>
              <w:t xml:space="preserve">единовременной выплаты</w:t>
            </w:r>
            <w:r>
              <w:rPr>
                <w:color w:val="002060"/>
                <w:sz w:val="25"/>
                <w:szCs w:val="25"/>
              </w:rPr>
            </w:r>
            <w:r/>
          </w:p>
        </w:tc>
        <w:tc>
          <w:tcPr>
            <w:tcW w:w="7539" w:type="dxa"/>
            <w:vAlign w:val="top"/>
            <w:textDirection w:val="lrTb"/>
            <w:noWrap w:val="false"/>
          </w:tcPr>
          <w:p>
            <w:pPr>
              <w:pStyle w:val="837"/>
              <w:ind w:left="33" w:right="72" w:firstLine="284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ind w:left="33" w:right="72" w:firstLine="284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Участники специальной военной операции, проводимой с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 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24 февраля 2022 года получившие увечье (ранение, травму, контузию) или заболевание при выполнении задач в х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о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де специальной военной операции либо при выполнении задач по охране государственной границы Российской Федерации на участках, примыкающих к районам проведения специальной военной операции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.</w:t>
            </w: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ind w:left="33" w:right="72" w:firstLine="284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К участникам специальной военной операции относятся граждане Российской Федерации:</w:t>
            </w:r>
            <w:r/>
          </w:p>
          <w:p>
            <w:pPr>
              <w:pStyle w:val="837"/>
              <w:ind w:left="33" w:right="72" w:firstLine="284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1)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 призванные на военную службу по мобилизации в Вооруженные Силы Российской Федерации;</w:t>
            </w:r>
            <w:r/>
          </w:p>
          <w:p>
            <w:pPr>
              <w:pStyle w:val="837"/>
              <w:ind w:left="33" w:right="72" w:firstLine="284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2) проходящие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 военную службу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 в Вооруженных Силах Российской Федерации по контракту или находящиеся на военной службе в войсках национальной гвардии Российской Федерации, в воинских формированиях и органах, указанных в пункте 6 статьи 1 ФЗ от 31.05.1996 года № 61 ФЗ «Об обороне», для 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обеспечения выполнения задач в ходе специальной военной операции;</w:t>
            </w: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ind w:left="33" w:right="72" w:firstLine="284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3) заключившие контракт о добровольном содействии в выполнении задач, возложенных на Вооруженные Силы Российской Федерации, для обеспечения выполнения задач в ходе специальной военной операции;</w:t>
            </w:r>
            <w:r/>
          </w:p>
          <w:p>
            <w:pPr>
              <w:pStyle w:val="837"/>
              <w:ind w:left="33" w:right="72" w:firstLine="284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4) 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имеющие статус военнослужащего пограничных органов федеральной службы безопа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сности в соответствии с Федеральным законом от 03.04.1995 года № 40 ФЗ «О федеральной службе безопасности», выполняющие задачи по охране государственной границы Российской Федерации на участках, примыкающих к районам проведения специальной военной операции. </w:t>
            </w: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ind w:left="33" w:right="72" w:firstLine="284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</w:tc>
      </w:tr>
      <w:tr>
        <w:trPr/>
        <w:tc>
          <w:tcPr>
            <w:tcW w:w="3081" w:type="dxa"/>
            <w:vAlign w:val="top"/>
            <w:textDirection w:val="lrTb"/>
            <w:noWrap w:val="false"/>
          </w:tcPr>
          <w:p>
            <w:pPr>
              <w:pStyle w:val="837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</w:r>
            <w:r/>
          </w:p>
          <w:p>
            <w:pPr>
              <w:pStyle w:val="837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  <w:t xml:space="preserve">2. Куда обращаться</w:t>
            </w:r>
            <w:r/>
          </w:p>
        </w:tc>
        <w:tc>
          <w:tcPr>
            <w:tcW w:w="7539" w:type="dxa"/>
            <w:vAlign w:val="top"/>
            <w:textDirection w:val="lrTb"/>
            <w:noWrap w:val="false"/>
          </w:tcPr>
          <w:p>
            <w:pPr>
              <w:pStyle w:val="837"/>
              <w:ind w:left="33" w:right="72" w:firstLine="284"/>
              <w:jc w:val="both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</w:r>
            <w:r/>
          </w:p>
          <w:p>
            <w:pPr>
              <w:pStyle w:val="837"/>
              <w:ind w:left="33" w:right="72" w:firstLine="284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</w:rPr>
              <w:t xml:space="preserve">В областное государственное казенное учреждение «Управление социальной защиты населения» 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по месту жительства. </w:t>
            </w:r>
            <w:r/>
            <w:r>
              <w:rPr>
                <w:color w:val="002060"/>
                <w:sz w:val="25"/>
                <w:szCs w:val="25"/>
                <w:lang w:eastAsia="ru-RU"/>
              </w:rPr>
            </w:r>
            <w:r/>
            <w:r>
              <w:rPr>
                <w:color w:val="002060"/>
                <w:sz w:val="25"/>
                <w:szCs w:val="25"/>
                <w:lang w:eastAsia="ru-RU"/>
              </w:rPr>
            </w:r>
          </w:p>
        </w:tc>
      </w:tr>
      <w:tr>
        <w:trPr/>
        <w:tc>
          <w:tcPr>
            <w:tcW w:w="3081" w:type="dxa"/>
            <w:vAlign w:val="top"/>
            <w:textDirection w:val="lrTb"/>
            <w:noWrap w:val="false"/>
          </w:tcPr>
          <w:p>
            <w:pPr>
              <w:pStyle w:val="837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</w:r>
            <w:r/>
          </w:p>
          <w:p>
            <w:pPr>
              <w:pStyle w:val="837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  <w:t xml:space="preserve">3. Размер </w:t>
            </w:r>
            <w:r>
              <w:rPr>
                <w:color w:val="002060"/>
                <w:sz w:val="25"/>
                <w:szCs w:val="25"/>
              </w:rPr>
              <w:t xml:space="preserve">единовременной выплаты</w:t>
            </w:r>
            <w:r>
              <w:rPr>
                <w:color w:val="002060"/>
                <w:sz w:val="25"/>
                <w:szCs w:val="25"/>
              </w:rPr>
            </w:r>
            <w:r/>
          </w:p>
        </w:tc>
        <w:tc>
          <w:tcPr>
            <w:tcW w:w="7539" w:type="dxa"/>
            <w:vAlign w:val="top"/>
            <w:textDirection w:val="lrTb"/>
            <w:noWrap w:val="false"/>
          </w:tcPr>
          <w:p>
            <w:pPr>
              <w:pStyle w:val="837"/>
              <w:ind w:left="33" w:right="72"/>
              <w:jc w:val="both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</w:r>
            <w:r/>
          </w:p>
          <w:p>
            <w:pPr>
              <w:pStyle w:val="837"/>
              <w:ind w:left="33" w:right="72"/>
              <w:jc w:val="both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  <w:t xml:space="preserve">- 300 000 рублей в случае получения увечья (ранения травмы, контузии) или заболевания в ходе проведения специальной военной операции, не повлекшего за собой установление инвалидности;</w:t>
            </w:r>
            <w:r>
              <w:rPr>
                <w:color w:val="002060"/>
                <w:sz w:val="25"/>
                <w:szCs w:val="25"/>
              </w:rPr>
            </w:r>
            <w:r/>
          </w:p>
          <w:p>
            <w:pPr>
              <w:pStyle w:val="837"/>
              <w:ind w:left="33" w:right="72"/>
              <w:jc w:val="both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</w:r>
            <w:r/>
          </w:p>
          <w:p>
            <w:pPr>
              <w:pStyle w:val="837"/>
              <w:ind w:left="33" w:right="72"/>
              <w:jc w:val="both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  <w:t xml:space="preserve">- 400 000 рублей в случае получения увечья (ранения травмы, контузии) или заболевания в ходе проведения специальной военной операции, повлекшего за собой установление инвалидности </w:t>
            </w:r>
            <w:r>
              <w:rPr>
                <w:color w:val="002060"/>
                <w:sz w:val="25"/>
                <w:szCs w:val="25"/>
                <w:lang w:val="en-US"/>
              </w:rPr>
              <w:t xml:space="preserve">III</w:t>
            </w:r>
            <w:r>
              <w:rPr>
                <w:color w:val="002060"/>
                <w:sz w:val="25"/>
                <w:szCs w:val="25"/>
              </w:rPr>
              <w:t xml:space="preserve"> группы;</w:t>
            </w:r>
            <w:r/>
          </w:p>
          <w:p>
            <w:pPr>
              <w:pStyle w:val="837"/>
              <w:ind w:left="33" w:right="72"/>
              <w:jc w:val="both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</w:r>
            <w:r/>
          </w:p>
          <w:p>
            <w:pPr>
              <w:pStyle w:val="837"/>
              <w:ind w:left="33" w:right="72"/>
              <w:jc w:val="both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  <w:t xml:space="preserve">- 500 000 рублей в случае получения увечья (ранения травмы, контузии) или заболевания в ходе проведения специальной военной операции, повлекшего за собой установление инвалидности </w:t>
            </w:r>
            <w:r>
              <w:rPr>
                <w:color w:val="002060"/>
                <w:sz w:val="25"/>
                <w:szCs w:val="25"/>
                <w:lang w:val="en-US"/>
              </w:rPr>
              <w:t xml:space="preserve">II</w:t>
            </w:r>
            <w:r>
              <w:rPr>
                <w:color w:val="002060"/>
                <w:sz w:val="25"/>
                <w:szCs w:val="25"/>
              </w:rPr>
              <w:t xml:space="preserve"> группы;</w:t>
            </w:r>
            <w:r/>
          </w:p>
          <w:p>
            <w:pPr>
              <w:pStyle w:val="837"/>
              <w:ind w:left="33" w:right="72"/>
              <w:jc w:val="both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</w:r>
            <w:r/>
          </w:p>
          <w:p>
            <w:pPr>
              <w:pStyle w:val="837"/>
              <w:ind w:left="33" w:right="72"/>
              <w:jc w:val="both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  <w:t xml:space="preserve">- 600 000 рублей в случае получения увечья (ранения травмы, контузии) или заболевания в ходе проведения специальной военной операции, повлекшего за собой установление инвалидности </w:t>
            </w:r>
            <w:r>
              <w:rPr>
                <w:color w:val="002060"/>
                <w:sz w:val="25"/>
                <w:szCs w:val="25"/>
                <w:lang w:val="en-US"/>
              </w:rPr>
              <w:t xml:space="preserve">I</w:t>
            </w:r>
            <w:r>
              <w:rPr>
                <w:color w:val="002060"/>
                <w:sz w:val="25"/>
                <w:szCs w:val="25"/>
              </w:rPr>
              <w:t xml:space="preserve"> группы.</w:t>
            </w:r>
            <w:r/>
          </w:p>
          <w:p>
            <w:pPr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highlight w:val="none"/>
                <w:lang w:eastAsia="ru-RU"/>
              </w:rPr>
            </w:r>
            <w:r>
              <w:rPr>
                <w:color w:val="002060"/>
                <w:sz w:val="25"/>
                <w:szCs w:val="25"/>
                <w:highlight w:val="none"/>
                <w:lang w:eastAsia="ru-RU"/>
              </w:rPr>
            </w:r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highlight w:val="none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      В случае установления инвалидности или изменения группы инвалидности вследствие одного и того же увечья (ранения, травмы, контузии) или за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болевания пострадавшему, которому уже была предоставлена единовременная выплата в размерах, установленных частью 1 статьи 2 Закона 53-ОЗ, ему производится доплата до размера единовременной выплаты, установленного пунктами 2-4 части 1 статьи 2 Закона 53-ОЗ.</w:t>
            </w: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ind w:left="33" w:right="72"/>
              <w:jc w:val="both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</w:r>
            <w:r/>
          </w:p>
          <w:p>
            <w:pPr>
              <w:pStyle w:val="837"/>
              <w:ind w:left="33" w:right="72"/>
              <w:jc w:val="both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</w:r>
            <w:r/>
          </w:p>
        </w:tc>
      </w:tr>
      <w:tr>
        <w:trPr/>
        <w:tc>
          <w:tcPr>
            <w:tcW w:w="3081" w:type="dxa"/>
            <w:vAlign w:val="top"/>
            <w:textDirection w:val="lrTb"/>
            <w:noWrap w:val="false"/>
          </w:tcPr>
          <w:p>
            <w:pPr>
              <w:pStyle w:val="837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</w:r>
            <w:r/>
          </w:p>
          <w:p>
            <w:pPr>
              <w:pStyle w:val="837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  <w:t xml:space="preserve">4. </w:t>
            </w:r>
            <w:r>
              <w:rPr>
                <w:color w:val="002060"/>
                <w:sz w:val="25"/>
                <w:szCs w:val="25"/>
              </w:rPr>
              <w:t xml:space="preserve">Для предоставления единовременной выплаты необходимо предоставить следующие документы</w:t>
            </w:r>
            <w:r>
              <w:rPr>
                <w:color w:val="002060"/>
                <w:sz w:val="25"/>
                <w:szCs w:val="25"/>
              </w:rPr>
            </w:r>
            <w:r/>
          </w:p>
        </w:tc>
        <w:tc>
          <w:tcPr>
            <w:tcW w:w="7539" w:type="dxa"/>
            <w:vAlign w:val="top"/>
            <w:textDirection w:val="lrTb"/>
            <w:noWrap w:val="false"/>
          </w:tcPr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1) заявление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 по форме;</w:t>
            </w: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2) паспорт гражданина Российской Федерации либо иной документ, удостоверяющий личность пострадавшего;</w:t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3) доку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менты, удостоверяющие личность и подтверждающие полномочия представителя пострадавшего, - в случае обращения с заявлением представителя пострадавшего;</w:t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4) 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решение суда об установлении факта постоянного или преимущественного проживания на территории Иркутской области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 – в случае отсутствия у пострадавшего в паспорте отметки о регистрации по месту жительства на территории Иркутской области либо отметки о регистрации по месту дислокации воинской части Вооруженных сил РФ, войск национальной гвардии РФ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, воинских формирований и органов, указанных в пункте 6 статьи 1 Федерального закона от 31 мая 1996 года № 61-ФЗ «Об обороне», на территории Иркутской области;</w:t>
            </w: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5) справка, содержащая сведения об участии в специальной военной операции либо выписка из приказа воинской части, содержащая сведения об участии в специальной военной операции;</w:t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6) документ о получении увечья (ранения, травмы, контузии), выданный </w:t>
            </w:r>
            <w:r>
              <w:rPr>
                <w:b/>
                <w:color w:val="002060"/>
                <w:sz w:val="25"/>
                <w:szCs w:val="25"/>
                <w:lang w:eastAsia="ru-RU"/>
              </w:rPr>
              <w:t xml:space="preserve">военно-медицинской организацией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 с указанием на причинную связь увечья (ранения, травмы, контузии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)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 с исполнением обязанностей военной службы, либо справка военно-врачебной комиссии о получении увечья (ранения, травмы, к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онтузии) или заболевании с указ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анием на причинную связь у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в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ечья (ранения, травмы, контузии) или заболевания с исполнением обязанностей военной службы или их копии, заверенные нотариусом или должностным лицом, уполномоченным 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в соответствии с законодательством на совершение нотариальных действий – для пострадавших, получивших увечье (ранение, травму, контузию) или заболевание, не повлекшее за собой установление инвалидности;</w:t>
            </w: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7) документ </w:t>
            </w:r>
            <w:r>
              <w:rPr>
                <w:b/>
                <w:color w:val="002060"/>
                <w:sz w:val="25"/>
                <w:szCs w:val="25"/>
                <w:lang w:eastAsia="ru-RU"/>
              </w:rPr>
              <w:t xml:space="preserve">медицинской организации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, подтверждающий получение увечья (ранения, травмы, контузии) при исполнении обяз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анностей военной службы с указанием на причинну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ю связь увечья (ранения, травмы, контузии) с исполнением обязанностей военной службы, или его копия, заверенная нотариусом или должностны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м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 лицом, уполномоченным в соответствии с законодательством на совершение нотариальных действий – для пострадавших, получивших увечье (ранение, травму, контузию) не повлекшее за собой установление инвалидности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;</w:t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8) справка </w:t>
            </w:r>
            <w:r>
              <w:rPr>
                <w:b/>
                <w:color w:val="002060"/>
                <w:sz w:val="25"/>
                <w:szCs w:val="25"/>
                <w:lang w:eastAsia="ru-RU"/>
              </w:rPr>
              <w:t xml:space="preserve">федерального учреждения медико-социальной экспертизы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, подтверждающая факт установления инвалидности, - для пострадавших, получивших увечье (ранение, травму, контузию) или заболевание, повлекшее за собой установление инвалидности.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 </w:t>
            </w: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</w:tc>
      </w:tr>
      <w:tr>
        <w:trPr/>
        <w:tc>
          <w:tcPr>
            <w:tcW w:w="3081" w:type="dxa"/>
            <w:vAlign w:val="top"/>
            <w:textDirection w:val="lrTb"/>
            <w:noWrap w:val="false"/>
          </w:tcPr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Заявление и документы могут быть представлены одним из следующих способов:</w:t>
            </w:r>
            <w:r/>
          </w:p>
          <w:p>
            <w:pPr>
              <w:pStyle w:val="837"/>
              <w:rPr>
                <w:color w:val="002060"/>
                <w:sz w:val="25"/>
                <w:szCs w:val="25"/>
              </w:rPr>
            </w:pPr>
            <w:r>
              <w:rPr>
                <w:color w:val="002060"/>
                <w:sz w:val="25"/>
                <w:szCs w:val="25"/>
              </w:rPr>
            </w:r>
            <w:r/>
          </w:p>
        </w:tc>
        <w:tc>
          <w:tcPr>
            <w:tcW w:w="7539" w:type="dxa"/>
            <w:vAlign w:val="top"/>
            <w:textDirection w:val="lrTb"/>
            <w:noWrap w:val="false"/>
          </w:tcPr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1)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 п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утём личного обращения в учреждение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;</w:t>
            </w: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2) через организации почтовой связи. В этом случае документы представляются в копиях, заверенных нотариусом или должностным лицом, уполномоченным в соответствии с законодательством на совершение нотариальных действий;</w:t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3) 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в форме электронных документов.</w:t>
            </w: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</w:tc>
      </w:tr>
      <w:tr>
        <w:trPr/>
        <w:tc>
          <w:tcPr>
            <w:tcW w:w="3081" w:type="dxa"/>
            <w:vAlign w:val="top"/>
            <w:textDirection w:val="lrTb"/>
            <w:noWrap w:val="false"/>
          </w:tcPr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Д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ополнительные условия</w:t>
            </w:r>
            <w:r/>
          </w:p>
        </w:tc>
        <w:tc>
          <w:tcPr>
            <w:tcW w:w="7539" w:type="dxa"/>
            <w:vAlign w:val="top"/>
            <w:textDirection w:val="lrTb"/>
            <w:noWrap w:val="false"/>
          </w:tcPr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       Право на дополнительную меру социальной поддержки пострадавшим предоставляется пострадавшему при условии его проживания на территории Иркутской области или регистрации по месту дислокации в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оинской части Вооруженных Сил Российской Федерации, войск национальной гвардии Российской Федерации, воинских формирований и органов, указанных в пункте 6 статьи 1 Федерального закона от 31 мая 1996 года №61ФЗ «Об обороне», на территории Иркутской области.</w:t>
            </w: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  <w:p>
            <w:pPr>
              <w:pStyle w:val="837"/>
              <w:jc w:val="both"/>
              <w:rPr>
                <w:color w:val="002060"/>
                <w:sz w:val="25"/>
                <w:szCs w:val="25"/>
                <w:lang w:eastAsia="ru-RU"/>
              </w:rPr>
            </w:pPr>
            <w:r>
              <w:rPr>
                <w:color w:val="002060"/>
                <w:sz w:val="25"/>
                <w:szCs w:val="25"/>
                <w:lang w:eastAsia="ru-RU"/>
              </w:rPr>
              <w:t xml:space="preserve">       За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явление и документы для предоставления дополнительной меры социальной поддержки пострадавшим могут быть поданы пострадавшим в течение 3-х лет со дня получения увечья (ранения, травмы, контузии) или заболевания в ходе проведения специальной военной операции</w:t>
            </w:r>
            <w:r>
              <w:rPr>
                <w:color w:val="002060"/>
                <w:sz w:val="25"/>
                <w:szCs w:val="25"/>
                <w:lang w:eastAsia="ru-RU"/>
              </w:rPr>
              <w:t xml:space="preserve">.</w:t>
            </w:r>
            <w:r>
              <w:rPr>
                <w:color w:val="002060"/>
                <w:sz w:val="25"/>
                <w:szCs w:val="25"/>
                <w:lang w:eastAsia="ru-RU"/>
              </w:rPr>
            </w:r>
            <w:r/>
          </w:p>
        </w:tc>
      </w:tr>
    </w:tbl>
    <w:sectPr>
      <w:headerReference w:type="even" r:id="rId9"/>
      <w:footnotePr/>
      <w:endnotePr/>
      <w:type w:val="nextPage"/>
      <w:pgSz w:w="11906" w:h="16838" w:orient="portrait"/>
      <w:pgMar w:top="539" w:right="567" w:bottom="567" w:left="720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Verdana">
    <w:panose1 w:val="020B0604030504040204"/>
  </w:font>
  <w:font w:name="Courier New">
    <w:panose1 w:val="020704090202050204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3"/>
      <w:rPr>
        <w:rStyle w:val="844"/>
      </w:rPr>
      <w:framePr w:wrap="around" w:vAnchor="text" w:hAnchor="margin" w:xAlign="center" w:y="1"/>
    </w:pPr>
    <w:r>
      <w:rPr>
        <w:rStyle w:val="844"/>
      </w:rPr>
      <w:fldChar w:fldCharType="begin"/>
    </w:r>
    <w:r>
      <w:rPr>
        <w:rStyle w:val="844"/>
      </w:rPr>
      <w:instrText xml:space="preserve">PAGE  </w:instrText>
    </w:r>
    <w:r>
      <w:rPr>
        <w:rStyle w:val="844"/>
      </w:rPr>
      <w:fldChar w:fldCharType="end"/>
    </w:r>
    <w:r>
      <w:rPr>
        <w:rStyle w:val="844"/>
      </w:rPr>
    </w:r>
    <w:r/>
  </w:p>
  <w:p>
    <w:pPr>
      <w:pStyle w:val="84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837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837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37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37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37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37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37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37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37"/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837"/>
        <w:ind w:left="67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837"/>
        <w:ind w:left="139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37"/>
        <w:ind w:left="2117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37"/>
        <w:ind w:left="283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37"/>
        <w:ind w:left="355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37"/>
        <w:ind w:left="4277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37"/>
        <w:ind w:left="499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37"/>
        <w:ind w:left="571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37"/>
        <w:ind w:left="6437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37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837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37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37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37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37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37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37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37"/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837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837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37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37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37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37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37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37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37"/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9">
    <w:name w:val="Heading 1"/>
    <w:basedOn w:val="837"/>
    <w:next w:val="837"/>
    <w:link w:val="660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660">
    <w:name w:val="Heading 1 Char"/>
    <w:link w:val="659"/>
    <w:uiPriority w:val="9"/>
    <w:rPr>
      <w:rFonts w:ascii="Arial" w:hAnsi="Arial" w:cs="Arial" w:eastAsia="Arial"/>
      <w:sz w:val="40"/>
      <w:szCs w:val="40"/>
    </w:rPr>
  </w:style>
  <w:style w:type="paragraph" w:styleId="661">
    <w:name w:val="Heading 2"/>
    <w:basedOn w:val="837"/>
    <w:next w:val="837"/>
    <w:link w:val="66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662">
    <w:name w:val="Heading 2 Char"/>
    <w:link w:val="661"/>
    <w:uiPriority w:val="9"/>
    <w:rPr>
      <w:rFonts w:ascii="Arial" w:hAnsi="Arial" w:cs="Arial" w:eastAsia="Arial"/>
      <w:sz w:val="34"/>
    </w:rPr>
  </w:style>
  <w:style w:type="paragraph" w:styleId="663">
    <w:name w:val="Heading 3"/>
    <w:basedOn w:val="837"/>
    <w:next w:val="837"/>
    <w:link w:val="66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664">
    <w:name w:val="Heading 3 Char"/>
    <w:link w:val="663"/>
    <w:uiPriority w:val="9"/>
    <w:rPr>
      <w:rFonts w:ascii="Arial" w:hAnsi="Arial" w:cs="Arial" w:eastAsia="Arial"/>
      <w:sz w:val="30"/>
      <w:szCs w:val="30"/>
    </w:rPr>
  </w:style>
  <w:style w:type="paragraph" w:styleId="665">
    <w:name w:val="Heading 4"/>
    <w:basedOn w:val="837"/>
    <w:next w:val="837"/>
    <w:link w:val="66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666">
    <w:name w:val="Heading 4 Char"/>
    <w:link w:val="665"/>
    <w:uiPriority w:val="9"/>
    <w:rPr>
      <w:rFonts w:ascii="Arial" w:hAnsi="Arial" w:cs="Arial" w:eastAsia="Arial"/>
      <w:b/>
      <w:bCs/>
      <w:sz w:val="26"/>
      <w:szCs w:val="26"/>
    </w:rPr>
  </w:style>
  <w:style w:type="paragraph" w:styleId="667">
    <w:name w:val="Heading 5"/>
    <w:basedOn w:val="837"/>
    <w:next w:val="837"/>
    <w:link w:val="66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668">
    <w:name w:val="Heading 5 Char"/>
    <w:link w:val="667"/>
    <w:uiPriority w:val="9"/>
    <w:rPr>
      <w:rFonts w:ascii="Arial" w:hAnsi="Arial" w:cs="Arial" w:eastAsia="Arial"/>
      <w:b/>
      <w:bCs/>
      <w:sz w:val="24"/>
      <w:szCs w:val="24"/>
    </w:rPr>
  </w:style>
  <w:style w:type="paragraph" w:styleId="669">
    <w:name w:val="Heading 6"/>
    <w:basedOn w:val="837"/>
    <w:next w:val="837"/>
    <w:link w:val="67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670">
    <w:name w:val="Heading 6 Char"/>
    <w:link w:val="669"/>
    <w:uiPriority w:val="9"/>
    <w:rPr>
      <w:rFonts w:ascii="Arial" w:hAnsi="Arial" w:cs="Arial" w:eastAsia="Arial"/>
      <w:b/>
      <w:bCs/>
      <w:sz w:val="22"/>
      <w:szCs w:val="22"/>
    </w:rPr>
  </w:style>
  <w:style w:type="paragraph" w:styleId="671">
    <w:name w:val="Heading 7"/>
    <w:basedOn w:val="837"/>
    <w:next w:val="837"/>
    <w:link w:val="67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672">
    <w:name w:val="Heading 7 Char"/>
    <w:link w:val="67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73">
    <w:name w:val="Heading 8"/>
    <w:basedOn w:val="837"/>
    <w:next w:val="837"/>
    <w:link w:val="67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674">
    <w:name w:val="Heading 8 Char"/>
    <w:link w:val="673"/>
    <w:uiPriority w:val="9"/>
    <w:rPr>
      <w:rFonts w:ascii="Arial" w:hAnsi="Arial" w:cs="Arial" w:eastAsia="Arial"/>
      <w:i/>
      <w:iCs/>
      <w:sz w:val="22"/>
      <w:szCs w:val="22"/>
    </w:rPr>
  </w:style>
  <w:style w:type="paragraph" w:styleId="675">
    <w:name w:val="Heading 9"/>
    <w:basedOn w:val="837"/>
    <w:next w:val="837"/>
    <w:link w:val="67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676">
    <w:name w:val="Heading 9 Char"/>
    <w:link w:val="675"/>
    <w:uiPriority w:val="9"/>
    <w:rPr>
      <w:rFonts w:ascii="Arial" w:hAnsi="Arial" w:cs="Arial" w:eastAsia="Arial"/>
      <w:i/>
      <w:iCs/>
      <w:sz w:val="21"/>
      <w:szCs w:val="21"/>
    </w:rPr>
  </w:style>
  <w:style w:type="paragraph" w:styleId="677">
    <w:name w:val="List Paragraph"/>
    <w:basedOn w:val="837"/>
    <w:uiPriority w:val="34"/>
    <w:qFormat/>
    <w:pPr>
      <w:contextualSpacing/>
      <w:ind w:left="720"/>
    </w:pPr>
  </w:style>
  <w:style w:type="paragraph" w:styleId="678">
    <w:name w:val="No Spacing"/>
    <w:uiPriority w:val="1"/>
    <w:qFormat/>
    <w:pPr>
      <w:spacing w:before="0" w:after="0" w:line="240" w:lineRule="auto"/>
    </w:pPr>
  </w:style>
  <w:style w:type="paragraph" w:styleId="679">
    <w:name w:val="Title"/>
    <w:basedOn w:val="837"/>
    <w:next w:val="837"/>
    <w:link w:val="68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0">
    <w:name w:val="Title Char"/>
    <w:link w:val="679"/>
    <w:uiPriority w:val="10"/>
    <w:rPr>
      <w:sz w:val="48"/>
      <w:szCs w:val="48"/>
    </w:rPr>
  </w:style>
  <w:style w:type="paragraph" w:styleId="681">
    <w:name w:val="Subtitle"/>
    <w:basedOn w:val="837"/>
    <w:next w:val="837"/>
    <w:link w:val="682"/>
    <w:uiPriority w:val="11"/>
    <w:qFormat/>
    <w:pPr>
      <w:spacing w:before="200" w:after="200"/>
    </w:pPr>
    <w:rPr>
      <w:sz w:val="24"/>
      <w:szCs w:val="24"/>
    </w:rPr>
  </w:style>
  <w:style w:type="character" w:styleId="682">
    <w:name w:val="Subtitle Char"/>
    <w:link w:val="681"/>
    <w:uiPriority w:val="11"/>
    <w:rPr>
      <w:sz w:val="24"/>
      <w:szCs w:val="24"/>
    </w:rPr>
  </w:style>
  <w:style w:type="paragraph" w:styleId="683">
    <w:name w:val="Quote"/>
    <w:basedOn w:val="837"/>
    <w:next w:val="837"/>
    <w:link w:val="684"/>
    <w:uiPriority w:val="29"/>
    <w:qFormat/>
    <w:pPr>
      <w:ind w:left="720" w:right="720"/>
    </w:pPr>
    <w:rPr>
      <w:i/>
    </w:rPr>
  </w:style>
  <w:style w:type="character" w:styleId="684">
    <w:name w:val="Quote Char"/>
    <w:link w:val="683"/>
    <w:uiPriority w:val="29"/>
    <w:rPr>
      <w:i/>
    </w:rPr>
  </w:style>
  <w:style w:type="paragraph" w:styleId="685">
    <w:name w:val="Intense Quote"/>
    <w:basedOn w:val="837"/>
    <w:next w:val="837"/>
    <w:link w:val="68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6">
    <w:name w:val="Intense Quote Char"/>
    <w:link w:val="685"/>
    <w:uiPriority w:val="30"/>
    <w:rPr>
      <w:i/>
    </w:rPr>
  </w:style>
  <w:style w:type="paragraph" w:styleId="687">
    <w:name w:val="Header"/>
    <w:basedOn w:val="837"/>
    <w:link w:val="68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8">
    <w:name w:val="Header Char"/>
    <w:link w:val="687"/>
    <w:uiPriority w:val="99"/>
  </w:style>
  <w:style w:type="paragraph" w:styleId="689">
    <w:name w:val="Footer"/>
    <w:basedOn w:val="837"/>
    <w:link w:val="69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0">
    <w:name w:val="Footer Char"/>
    <w:link w:val="689"/>
    <w:uiPriority w:val="99"/>
  </w:style>
  <w:style w:type="paragraph" w:styleId="691">
    <w:name w:val="Caption"/>
    <w:basedOn w:val="837"/>
    <w:next w:val="83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2">
    <w:name w:val="Caption Char"/>
    <w:basedOn w:val="691"/>
    <w:link w:val="689"/>
    <w:uiPriority w:val="99"/>
  </w:style>
  <w:style w:type="table" w:styleId="693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4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5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6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7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8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0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2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3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4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5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6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7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8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9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30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31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2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33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4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5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6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7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8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9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0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1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2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7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8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9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0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1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2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3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5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6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7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8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9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0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1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2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3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4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5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6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7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8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0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1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2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3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4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5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6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7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8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9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0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1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2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3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4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5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6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7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8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9">
    <w:name w:val="Hyperlink"/>
    <w:uiPriority w:val="99"/>
    <w:unhideWhenUsed/>
    <w:rPr>
      <w:color w:val="0000FF" w:themeColor="hyperlink"/>
      <w:u w:val="single"/>
    </w:rPr>
  </w:style>
  <w:style w:type="paragraph" w:styleId="820">
    <w:name w:val="footnote text"/>
    <w:basedOn w:val="837"/>
    <w:link w:val="821"/>
    <w:uiPriority w:val="99"/>
    <w:semiHidden/>
    <w:unhideWhenUsed/>
    <w:pPr>
      <w:spacing w:after="40" w:line="240" w:lineRule="auto"/>
    </w:pPr>
    <w:rPr>
      <w:sz w:val="18"/>
    </w:rPr>
  </w:style>
  <w:style w:type="character" w:styleId="821">
    <w:name w:val="Footnote Text Char"/>
    <w:link w:val="820"/>
    <w:uiPriority w:val="99"/>
    <w:rPr>
      <w:sz w:val="18"/>
    </w:rPr>
  </w:style>
  <w:style w:type="character" w:styleId="822">
    <w:name w:val="footnote reference"/>
    <w:uiPriority w:val="99"/>
    <w:unhideWhenUsed/>
    <w:rPr>
      <w:vertAlign w:val="superscript"/>
    </w:rPr>
  </w:style>
  <w:style w:type="paragraph" w:styleId="823">
    <w:name w:val="endnote text"/>
    <w:basedOn w:val="837"/>
    <w:link w:val="824"/>
    <w:uiPriority w:val="99"/>
    <w:semiHidden/>
    <w:unhideWhenUsed/>
    <w:pPr>
      <w:spacing w:after="0" w:line="240" w:lineRule="auto"/>
    </w:pPr>
    <w:rPr>
      <w:sz w:val="20"/>
    </w:rPr>
  </w:style>
  <w:style w:type="character" w:styleId="824">
    <w:name w:val="Endnote Text Char"/>
    <w:link w:val="823"/>
    <w:uiPriority w:val="99"/>
    <w:rPr>
      <w:sz w:val="20"/>
    </w:rPr>
  </w:style>
  <w:style w:type="character" w:styleId="825">
    <w:name w:val="endnote reference"/>
    <w:uiPriority w:val="99"/>
    <w:semiHidden/>
    <w:unhideWhenUsed/>
    <w:rPr>
      <w:vertAlign w:val="superscript"/>
    </w:rPr>
  </w:style>
  <w:style w:type="paragraph" w:styleId="826">
    <w:name w:val="toc 1"/>
    <w:basedOn w:val="837"/>
    <w:next w:val="837"/>
    <w:uiPriority w:val="39"/>
    <w:unhideWhenUsed/>
    <w:pPr>
      <w:ind w:left="0" w:right="0" w:firstLine="0"/>
      <w:spacing w:after="57"/>
    </w:pPr>
  </w:style>
  <w:style w:type="paragraph" w:styleId="827">
    <w:name w:val="toc 2"/>
    <w:basedOn w:val="837"/>
    <w:next w:val="837"/>
    <w:uiPriority w:val="39"/>
    <w:unhideWhenUsed/>
    <w:pPr>
      <w:ind w:left="283" w:right="0" w:firstLine="0"/>
      <w:spacing w:after="57"/>
    </w:pPr>
  </w:style>
  <w:style w:type="paragraph" w:styleId="828">
    <w:name w:val="toc 3"/>
    <w:basedOn w:val="837"/>
    <w:next w:val="837"/>
    <w:uiPriority w:val="39"/>
    <w:unhideWhenUsed/>
    <w:pPr>
      <w:ind w:left="567" w:right="0" w:firstLine="0"/>
      <w:spacing w:after="57"/>
    </w:pPr>
  </w:style>
  <w:style w:type="paragraph" w:styleId="829">
    <w:name w:val="toc 4"/>
    <w:basedOn w:val="837"/>
    <w:next w:val="837"/>
    <w:uiPriority w:val="39"/>
    <w:unhideWhenUsed/>
    <w:pPr>
      <w:ind w:left="850" w:right="0" w:firstLine="0"/>
      <w:spacing w:after="57"/>
    </w:pPr>
  </w:style>
  <w:style w:type="paragraph" w:styleId="830">
    <w:name w:val="toc 5"/>
    <w:basedOn w:val="837"/>
    <w:next w:val="837"/>
    <w:uiPriority w:val="39"/>
    <w:unhideWhenUsed/>
    <w:pPr>
      <w:ind w:left="1134" w:right="0" w:firstLine="0"/>
      <w:spacing w:after="57"/>
    </w:pPr>
  </w:style>
  <w:style w:type="paragraph" w:styleId="831">
    <w:name w:val="toc 6"/>
    <w:basedOn w:val="837"/>
    <w:next w:val="837"/>
    <w:uiPriority w:val="39"/>
    <w:unhideWhenUsed/>
    <w:pPr>
      <w:ind w:left="1417" w:right="0" w:firstLine="0"/>
      <w:spacing w:after="57"/>
    </w:pPr>
  </w:style>
  <w:style w:type="paragraph" w:styleId="832">
    <w:name w:val="toc 7"/>
    <w:basedOn w:val="837"/>
    <w:next w:val="837"/>
    <w:uiPriority w:val="39"/>
    <w:unhideWhenUsed/>
    <w:pPr>
      <w:ind w:left="1701" w:right="0" w:firstLine="0"/>
      <w:spacing w:after="57"/>
    </w:pPr>
  </w:style>
  <w:style w:type="paragraph" w:styleId="833">
    <w:name w:val="toc 8"/>
    <w:basedOn w:val="837"/>
    <w:next w:val="837"/>
    <w:uiPriority w:val="39"/>
    <w:unhideWhenUsed/>
    <w:pPr>
      <w:ind w:left="1984" w:right="0" w:firstLine="0"/>
      <w:spacing w:after="57"/>
    </w:pPr>
  </w:style>
  <w:style w:type="paragraph" w:styleId="834">
    <w:name w:val="toc 9"/>
    <w:basedOn w:val="837"/>
    <w:next w:val="837"/>
    <w:uiPriority w:val="39"/>
    <w:unhideWhenUsed/>
    <w:pPr>
      <w:ind w:left="2268" w:right="0" w:firstLine="0"/>
      <w:spacing w:after="57"/>
    </w:pPr>
  </w:style>
  <w:style w:type="paragraph" w:styleId="835">
    <w:name w:val="TOC Heading"/>
    <w:uiPriority w:val="39"/>
    <w:unhideWhenUsed/>
  </w:style>
  <w:style w:type="paragraph" w:styleId="836">
    <w:name w:val="table of figures"/>
    <w:basedOn w:val="837"/>
    <w:next w:val="837"/>
    <w:uiPriority w:val="99"/>
    <w:unhideWhenUsed/>
    <w:pPr>
      <w:spacing w:after="0" w:afterAutospacing="0"/>
    </w:pPr>
  </w:style>
  <w:style w:type="paragraph" w:styleId="837" w:default="1">
    <w:name w:val="Normal"/>
    <w:next w:val="837"/>
    <w:link w:val="837"/>
    <w:rPr>
      <w:sz w:val="24"/>
      <w:szCs w:val="24"/>
      <w:lang w:val="ru-RU" w:bidi="ar-SA" w:eastAsia="en-US"/>
    </w:rPr>
  </w:style>
  <w:style w:type="character" w:styleId="838">
    <w:name w:val="Основной шрифт абзаца, Знак Знак Знак Знак Знак Знак Знак Знак1"/>
    <w:next w:val="838"/>
    <w:link w:val="845"/>
    <w:semiHidden/>
  </w:style>
  <w:style w:type="table" w:styleId="839">
    <w:name w:val="Обычная таблица"/>
    <w:next w:val="839"/>
    <w:link w:val="837"/>
    <w:semiHidden/>
    <w:tblPr/>
  </w:style>
  <w:style w:type="numbering" w:styleId="840">
    <w:name w:val="Нет списка"/>
    <w:next w:val="840"/>
    <w:link w:val="837"/>
    <w:semiHidden/>
  </w:style>
  <w:style w:type="table" w:styleId="841">
    <w:name w:val="Сетка таблицы"/>
    <w:basedOn w:val="839"/>
    <w:next w:val="841"/>
    <w:link w:val="837"/>
    <w:tblPr/>
  </w:style>
  <w:style w:type="paragraph" w:styleId="842">
    <w:name w:val="ConsPlusNonformat"/>
    <w:next w:val="842"/>
    <w:link w:val="837"/>
    <w:rPr>
      <w:rFonts w:ascii="Courier New" w:hAnsi="Courier New"/>
      <w:lang w:val="ru-RU" w:bidi="ar-SA" w:eastAsia="ru-RU"/>
    </w:rPr>
  </w:style>
  <w:style w:type="paragraph" w:styleId="843">
    <w:name w:val="Верхний колонтитул"/>
    <w:basedOn w:val="837"/>
    <w:next w:val="843"/>
    <w:link w:val="837"/>
    <w:pPr>
      <w:tabs>
        <w:tab w:val="center" w:pos="4677" w:leader="none"/>
        <w:tab w:val="right" w:pos="9355" w:leader="none"/>
      </w:tabs>
    </w:pPr>
  </w:style>
  <w:style w:type="character" w:styleId="844">
    <w:name w:val="Номер страницы"/>
    <w:basedOn w:val="838"/>
    <w:next w:val="844"/>
    <w:link w:val="837"/>
  </w:style>
  <w:style w:type="paragraph" w:styleId="845">
    <w:name w:val=" Знак Знак Знак Знак Знак Знак"/>
    <w:basedOn w:val="837"/>
    <w:next w:val="845"/>
    <w:link w:val="838"/>
    <w:rPr>
      <w:rFonts w:ascii="Verdana" w:hAnsi="Verdana"/>
      <w:sz w:val="20"/>
      <w:szCs w:val="20"/>
      <w:lang w:val="en-US"/>
    </w:rPr>
  </w:style>
  <w:style w:type="paragraph" w:styleId="846">
    <w:name w:val="Текст выноски"/>
    <w:basedOn w:val="837"/>
    <w:next w:val="846"/>
    <w:link w:val="837"/>
    <w:semiHidden/>
    <w:rPr>
      <w:rFonts w:ascii="Tahoma" w:hAnsi="Tahoma"/>
      <w:sz w:val="16"/>
      <w:szCs w:val="16"/>
    </w:rPr>
  </w:style>
  <w:style w:type="paragraph" w:styleId="847">
    <w:name w:val=" Знак Знак Знак Знак Знак Знак Знак Знак"/>
    <w:basedOn w:val="837"/>
    <w:next w:val="847"/>
    <w:link w:val="837"/>
    <w:rPr>
      <w:rFonts w:ascii="Verdana" w:hAnsi="Verdana"/>
      <w:sz w:val="20"/>
      <w:szCs w:val="20"/>
      <w:lang w:val="en-US"/>
    </w:rPr>
  </w:style>
  <w:style w:type="paragraph" w:styleId="848">
    <w:name w:val="Нижний колонтитул"/>
    <w:basedOn w:val="837"/>
    <w:next w:val="848"/>
    <w:link w:val="849"/>
    <w:pPr>
      <w:tabs>
        <w:tab w:val="center" w:pos="4677" w:leader="none"/>
        <w:tab w:val="right" w:pos="9355" w:leader="none"/>
      </w:tabs>
    </w:pPr>
  </w:style>
  <w:style w:type="character" w:styleId="849">
    <w:name w:val="Нижний колонтитул Знак"/>
    <w:next w:val="849"/>
    <w:link w:val="848"/>
    <w:rPr>
      <w:sz w:val="24"/>
      <w:szCs w:val="24"/>
      <w:lang w:eastAsia="en-US"/>
    </w:rPr>
  </w:style>
  <w:style w:type="character" w:styleId="850" w:default="1">
    <w:name w:val="Default Paragraph Font"/>
    <w:uiPriority w:val="1"/>
    <w:semiHidden/>
    <w:unhideWhenUsed/>
  </w:style>
  <w:style w:type="numbering" w:styleId="851" w:default="1">
    <w:name w:val="No List"/>
    <w:uiPriority w:val="99"/>
    <w:semiHidden/>
    <w:unhideWhenUsed/>
  </w:style>
  <w:style w:type="table" w:styleId="852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Р7-Офис/7.1.1.35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2023-11-13T07:09:37Z</dcterms:modified>
</cp:coreProperties>
</file>