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69" w:rsidRPr="00A35A69" w:rsidRDefault="00A35A69" w:rsidP="00A35A69">
      <w:pPr>
        <w:shd w:val="clear" w:color="auto" w:fill="FFFFFF"/>
        <w:spacing w:after="480" w:line="630" w:lineRule="atLeast"/>
        <w:outlineLvl w:val="1"/>
        <w:rPr>
          <w:rFonts w:ascii="Arial" w:eastAsia="Times New Roman" w:hAnsi="Arial" w:cs="Arial"/>
          <w:b/>
          <w:bCs/>
          <w:color w:val="333333"/>
          <w:sz w:val="54"/>
          <w:szCs w:val="54"/>
          <w:lang w:eastAsia="ru-RU"/>
        </w:rPr>
      </w:pPr>
      <w:r w:rsidRPr="00A35A69">
        <w:rPr>
          <w:rFonts w:ascii="Arial" w:eastAsia="Times New Roman" w:hAnsi="Arial" w:cs="Arial"/>
          <w:b/>
          <w:bCs/>
          <w:color w:val="333333"/>
          <w:sz w:val="54"/>
          <w:szCs w:val="54"/>
          <w:lang w:eastAsia="ru-RU"/>
        </w:rPr>
        <w:t>Новости</w:t>
      </w:r>
    </w:p>
    <w:p w:rsidR="00A35A69" w:rsidRPr="00A35A69" w:rsidRDefault="00A35A69" w:rsidP="00A35A69">
      <w:pPr>
        <w:numPr>
          <w:ilvl w:val="0"/>
          <w:numId w:val="1"/>
        </w:numPr>
        <w:shd w:val="clear" w:color="auto" w:fill="FFFFFF"/>
        <w:spacing w:after="100" w:afterAutospacing="1" w:line="300" w:lineRule="atLeast"/>
        <w:ind w:left="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r w:rsidRPr="00A35A69"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  <w:t>4 марта 2022, 09:11</w:t>
      </w:r>
    </w:p>
    <w:p w:rsidR="00A35A69" w:rsidRPr="00A35A69" w:rsidRDefault="00A35A69" w:rsidP="00A35A6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240"/>
        <w:rPr>
          <w:rFonts w:ascii="Roboto" w:eastAsia="Times New Roman" w:hAnsi="Roboto" w:cs="Times New Roman"/>
          <w:color w:val="9094A3"/>
          <w:sz w:val="21"/>
          <w:szCs w:val="21"/>
          <w:lang w:eastAsia="ru-RU"/>
        </w:rPr>
      </w:pPr>
      <w:hyperlink r:id="rId6" w:tooltip="" w:history="1">
        <w:r w:rsidRPr="00A35A69">
          <w:rPr>
            <w:rFonts w:ascii="Roboto" w:eastAsia="Times New Roman" w:hAnsi="Roboto" w:cs="Times New Roman"/>
            <w:color w:val="0000FF"/>
            <w:sz w:val="21"/>
            <w:szCs w:val="21"/>
            <w:lang w:eastAsia="ru-RU"/>
          </w:rPr>
          <w:t>Управление Генеральной прокуратуры Российской Федерации по Сибирскому федеральному округу</w:t>
        </w:r>
      </w:hyperlink>
    </w:p>
    <w:p w:rsidR="00A35A69" w:rsidRPr="00A35A69" w:rsidRDefault="00A35A69" w:rsidP="00A35A69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35A6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В Иркутской области после вмешательства прокуратуры погашена задолженность по исполненным контрактам на сумму более 67 </w:t>
      </w:r>
      <w:proofErr w:type="gramStart"/>
      <w:r w:rsidRPr="00A35A6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млн</w:t>
      </w:r>
      <w:proofErr w:type="gramEnd"/>
      <w:r w:rsidRPr="00A35A69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рублей</w:t>
      </w:r>
    </w:p>
    <w:p w:rsidR="00A35A69" w:rsidRPr="00A35A69" w:rsidRDefault="00A35A69" w:rsidP="00A35A6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35A69">
        <w:rPr>
          <w:rFonts w:ascii="Roboto" w:eastAsia="Times New Roman" w:hAnsi="Roboto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13CAE9" wp14:editId="7D5C39D0">
            <wp:extent cx="4104861" cy="4104861"/>
            <wp:effectExtent l="0" t="0" r="0" b="0"/>
            <wp:docPr id="1" name="Рисунок 1" descr="https://epp.genproc.gov.ru/o/adaptive-media/image/72148310/news/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p.genproc.gov.ru/o/adaptive-media/image/72148310/news/im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970" cy="410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69" w:rsidRPr="00A35A69" w:rsidRDefault="00A35A69" w:rsidP="00A35A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Вопросы защиты прав </w:t>
      </w:r>
      <w:proofErr w:type="gramStart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предпринимателей</w:t>
      </w:r>
      <w:proofErr w:type="gramEnd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на своевременную оплату исполненных ими контрактных обязательств находятся на постоянном контроле органов прокуратуры Иркутской области.</w:t>
      </w:r>
    </w:p>
    <w:p w:rsidR="00A35A69" w:rsidRPr="00A35A69" w:rsidRDefault="00A35A69" w:rsidP="00A35A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прошедшем году в связи с несвоевременной оплатой по исполненным государственным и муниципальным контрактам прокурорами внесено 153 представления, к дисциплинарной ответственности привлечены 23 лица, к административной - 21.</w:t>
      </w:r>
      <w:proofErr w:type="gramEnd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результате принятых прокурорами </w:t>
      </w:r>
      <w:proofErr w:type="gramStart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мер</w:t>
      </w:r>
      <w:proofErr w:type="gramEnd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общая сумма погашенной в 2021 г. задолженности составила 363,7 млн. рублей (по федеральным контрактам – 0,6 млн. рублей, региональным – 130,3 млн. рублей, муниципальным – 196,6 млн. рублей).</w:t>
      </w:r>
    </w:p>
    <w:p w:rsidR="00A35A69" w:rsidRPr="00A35A69" w:rsidRDefault="00A35A69" w:rsidP="00A35A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В текущем году работа на данном направлении продолжена, в настоящее время по требованию прокуратуры предпринимателям выплачена задолженность на сумму 67,5 млн. рублей.</w:t>
      </w:r>
    </w:p>
    <w:p w:rsidR="00A35A69" w:rsidRPr="00A35A69" w:rsidRDefault="00A35A69" w:rsidP="00A35A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Так, в </w:t>
      </w:r>
      <w:proofErr w:type="spellStart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Усть-Удинском</w:t>
      </w:r>
      <w:proofErr w:type="spellEnd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районе Иркутской области и </w:t>
      </w:r>
      <w:proofErr w:type="spellStart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Падунском</w:t>
      </w:r>
      <w:proofErr w:type="spellEnd"/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районе г. Братска учреждениями здравоохранения погашена задолженность перед субъектами предпринимательского рынка на сумму свыше 14 млн. рублей.</w:t>
      </w:r>
    </w:p>
    <w:p w:rsidR="00A35A69" w:rsidRPr="00A35A69" w:rsidRDefault="00A35A69" w:rsidP="00A35A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г. Ангарске муниципальным унитарным предприятием, осуществляющим деятельность в сфере пассажирских перевозок, погашен долг на сумму более 8 млн. рублей за потребленную электроэнергию.</w:t>
      </w:r>
    </w:p>
    <w:p w:rsidR="00A35A69" w:rsidRPr="00A35A69" w:rsidRDefault="00A35A69" w:rsidP="00A35A69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35A6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Устранение нарушений в указанной сфере находится на постоянном контроле прокуратуры области.</w:t>
      </w:r>
    </w:p>
    <w:p w:rsidR="00070024" w:rsidRDefault="00070024"/>
    <w:sectPr w:rsidR="00070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A508F"/>
    <w:multiLevelType w:val="multilevel"/>
    <w:tmpl w:val="63D6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72"/>
    <w:rsid w:val="00070024"/>
    <w:rsid w:val="00A35A69"/>
    <w:rsid w:val="00E7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7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87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05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469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04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80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p.genproc.gov.ru/web/proc_sib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2022-03-09T19:40:00Z</dcterms:created>
  <dcterms:modified xsi:type="dcterms:W3CDTF">2022-03-09T19:41:00Z</dcterms:modified>
</cp:coreProperties>
</file>